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315" w:right="360" w:firstLine="0"/>
        <w:jc w:val="center"/>
        <w:rPr>
          <w:b w:val="1"/>
          <w:bCs w:val="1"/>
          <w:sz w:val="18"/>
          <w:szCs w:val="18"/>
        </w:rPr>
      </w:pPr>
      <w:bookmarkStart w:colFirst="0" w:colLast="0" w:name="_7avruivmb9p" w:id="0"/>
      <w:bookmarkEnd w:id="0"/>
      <w:r w:rsidDel="00000000" w:rsidR="00000000" w:rsidRPr="00000000">
        <w:rPr>
          <w:sz w:val="26"/>
          <w:szCs w:val="26"/>
          <w:rtl w:val="0"/>
        </w:rPr>
        <w:t xml:space="preserve">Chapter 300, Subchapter D: </w:t>
      </w:r>
      <w:r w:rsidDel="00000000" w:rsidR="00000000" w:rsidRPr="00000000">
        <w:rPr>
          <w:sz w:val="26"/>
          <w:szCs w:val="26"/>
          <w:rtl w:val="0"/>
        </w:rPr>
        <w:t xml:space="preserve">Retail Sale of Consumable Hemp Products </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5595938</wp:posOffset>
            </wp:positionH>
            <wp:positionV relativeFrom="paragraph">
              <wp:posOffset>114300</wp:posOffset>
            </wp:positionV>
            <wp:extent cx="616744" cy="616744"/>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6744" cy="616744"/>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-238124</wp:posOffset>
            </wp:positionH>
            <wp:positionV relativeFrom="paragraph">
              <wp:posOffset>114300</wp:posOffset>
            </wp:positionV>
            <wp:extent cx="621506" cy="621506"/>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21506" cy="621506"/>
                    </a:xfrm>
                    <a:prstGeom prst="rect"/>
                    <a:ln/>
                  </pic:spPr>
                </pic:pic>
              </a:graphicData>
            </a:graphic>
          </wp:anchor>
        </w:drawing>
      </w:r>
    </w:p>
    <w:p w:rsidR="00000000" w:rsidDel="00000000" w:rsidP="00000000" w:rsidRDefault="00000000" w:rsidRPr="00000000" w14:paraId="00000002">
      <w:pPr>
        <w:pStyle w:val="Title"/>
        <w:ind w:left="-315" w:right="360" w:firstLine="0"/>
        <w:jc w:val="center"/>
        <w:rPr>
          <w:sz w:val="50"/>
          <w:szCs w:val="50"/>
        </w:rPr>
      </w:pPr>
      <w:bookmarkStart w:colFirst="0" w:colLast="0" w:name="_pvhxe1fz4qad" w:id="1"/>
      <w:bookmarkEnd w:id="1"/>
      <w:r w:rsidDel="00000000" w:rsidR="00000000" w:rsidRPr="00000000">
        <w:rPr>
          <w:sz w:val="26"/>
          <w:szCs w:val="26"/>
          <w:rtl w:val="0"/>
        </w:rPr>
        <w:t xml:space="preserve">Compliance Checklist</w:t>
      </w:r>
      <w:r w:rsidDel="00000000" w:rsidR="00000000" w:rsidRPr="00000000">
        <w:rPr>
          <w:rtl w:val="0"/>
        </w:rPr>
      </w:r>
    </w:p>
    <w:p w:rsidR="00000000" w:rsidDel="00000000" w:rsidP="00000000" w:rsidRDefault="00000000" w:rsidRPr="00000000" w14:paraId="00000003">
      <w:pPr>
        <w:ind w:left="-315" w:right="360" w:firstLine="0"/>
        <w:rPr/>
      </w:pPr>
      <w:r w:rsidDel="00000000" w:rsidR="00000000" w:rsidRPr="00000000">
        <w:rPr>
          <w:rtl w:val="0"/>
        </w:rPr>
      </w:r>
    </w:p>
    <w:p w:rsidR="00000000" w:rsidDel="00000000" w:rsidP="00000000" w:rsidRDefault="00000000" w:rsidRPr="00000000" w14:paraId="00000004">
      <w:pPr>
        <w:pStyle w:val="Heading3"/>
        <w:keepNext w:val="0"/>
        <w:keepLines w:val="0"/>
        <w:spacing w:before="0" w:lineRule="auto"/>
        <w:ind w:left="-315" w:right="360" w:firstLine="0"/>
        <w:rPr>
          <w:b w:val="1"/>
          <w:bCs w:val="1"/>
          <w:color w:val="000000"/>
          <w:sz w:val="22"/>
          <w:szCs w:val="22"/>
        </w:rPr>
      </w:pPr>
      <w:bookmarkStart w:colFirst="0" w:colLast="0" w:name="_vizbzw8uho8h" w:id="2"/>
      <w:bookmarkEnd w:id="2"/>
      <w:r w:rsidDel="00000000" w:rsidR="00000000" w:rsidRPr="00000000">
        <w:rPr>
          <w:b w:val="1"/>
          <w:bCs w:val="1"/>
          <w:color w:val="000000"/>
          <w:sz w:val="22"/>
          <w:szCs w:val="22"/>
          <w:rtl w:val="0"/>
        </w:rPr>
        <w:t xml:space="preserve">1. Packaging &amp; Labeling Requirements</w:t>
      </w:r>
    </w:p>
    <w:p w:rsidR="00000000" w:rsidDel="00000000" w:rsidP="00000000" w:rsidRDefault="00000000" w:rsidRPr="00000000" w14:paraId="00000005">
      <w:pPr>
        <w:numPr>
          <w:ilvl w:val="0"/>
          <w:numId w:val="1"/>
        </w:numPr>
        <w:spacing w:after="0" w:afterAutospacing="0" w:lineRule="auto"/>
        <w:ind w:left="-315" w:right="360" w:firstLine="0"/>
        <w:rPr>
          <w:sz w:val="18"/>
          <w:szCs w:val="18"/>
        </w:rPr>
      </w:pPr>
      <w:r w:rsidDel="00000000" w:rsidR="00000000" w:rsidRPr="00000000">
        <w:rPr>
          <w:b w:val="1"/>
          <w:bCs w:val="1"/>
          <w:sz w:val="18"/>
          <w:szCs w:val="18"/>
          <w:u w:val="single"/>
          <w:rtl w:val="0"/>
        </w:rPr>
        <w:t xml:space="preserve">Packaging Rules</w:t>
      </w:r>
      <w:r w:rsidDel="00000000" w:rsidR="00000000" w:rsidRPr="00000000">
        <w:rPr>
          <w:b w:val="1"/>
          <w:bCs w:val="1"/>
          <w:sz w:val="18"/>
          <w:szCs w:val="18"/>
          <w:rtl w:val="0"/>
        </w:rPr>
        <w:t xml:space="preserve">:</w:t>
      </w:r>
      <w:r w:rsidDel="00000000" w:rsidR="00000000" w:rsidRPr="00000000">
        <w:rPr>
          <w:sz w:val="18"/>
          <w:szCs w:val="18"/>
          <w:rtl w:val="0"/>
        </w:rPr>
        <w:t xml:space="preserve"> Products must be tamper-evident (using an unbroken seal like a shrink band, sticker, or heat-seal). Packaging must be child-resistant. If a product contains multiple servings, it must be resealable while maintaining the child-resistant mechanism. The package must clearly indicate that it contains a hemp-derived cannabinoid. The package must absolutely make no claims that the product is intended for medical use.</w:t>
      </w:r>
    </w:p>
    <w:p w:rsidR="00000000" w:rsidDel="00000000" w:rsidP="00000000" w:rsidRDefault="00000000" w:rsidRPr="00000000" w14:paraId="00000006">
      <w:pPr>
        <w:numPr>
          <w:ilvl w:val="0"/>
          <w:numId w:val="1"/>
        </w:numPr>
        <w:spacing w:after="0" w:afterAutospacing="0" w:lineRule="auto"/>
        <w:ind w:left="-315" w:right="360" w:firstLine="0"/>
        <w:rPr>
          <w:sz w:val="18"/>
          <w:szCs w:val="18"/>
        </w:rPr>
      </w:pPr>
      <w:r w:rsidDel="00000000" w:rsidR="00000000" w:rsidRPr="00000000">
        <w:rPr>
          <w:b w:val="1"/>
          <w:bCs w:val="1"/>
          <w:sz w:val="18"/>
          <w:szCs w:val="18"/>
          <w:u w:val="single"/>
          <w:rtl w:val="0"/>
        </w:rPr>
        <w:t xml:space="preserve">Labeling (Outer Package)</w:t>
      </w:r>
      <w:r w:rsidDel="00000000" w:rsidR="00000000" w:rsidRPr="00000000">
        <w:rPr>
          <w:b w:val="1"/>
          <w:bCs w:val="1"/>
          <w:sz w:val="18"/>
          <w:szCs w:val="18"/>
          <w:rtl w:val="0"/>
        </w:rPr>
        <w:t xml:space="preserve">:</w:t>
      </w:r>
      <w:r w:rsidDel="00000000" w:rsidR="00000000" w:rsidRPr="00000000">
        <w:rPr>
          <w:sz w:val="18"/>
          <w:szCs w:val="18"/>
          <w:rtl w:val="0"/>
        </w:rPr>
        <w:t xml:space="preserve"> Labels must conspicuously feature the Product Name, Batch Number, and Date. The label must include the name, telephone number, and email address of the product manufacturer or processor (if white labeling, use your company's information). You must include a recommended serving size in milligrams per container. A URL for COAs must be provided, and the COAs must be accessible within three clicks. QR codes are optional.</w:t>
      </w:r>
    </w:p>
    <w:p w:rsidR="00000000" w:rsidDel="00000000" w:rsidP="00000000" w:rsidRDefault="00000000" w:rsidRPr="00000000" w14:paraId="00000007">
      <w:pPr>
        <w:numPr>
          <w:ilvl w:val="0"/>
          <w:numId w:val="1"/>
        </w:numPr>
        <w:spacing w:after="240" w:lineRule="auto"/>
        <w:ind w:left="-315" w:right="360" w:firstLine="0"/>
        <w:rPr>
          <w:sz w:val="18"/>
          <w:szCs w:val="18"/>
        </w:rPr>
      </w:pPr>
      <w:r w:rsidDel="00000000" w:rsidR="00000000" w:rsidRPr="00000000">
        <w:rPr>
          <w:b w:val="1"/>
          <w:bCs w:val="1"/>
          <w:sz w:val="18"/>
          <w:szCs w:val="18"/>
          <w:u w:val="single"/>
          <w:rtl w:val="0"/>
        </w:rPr>
        <w:t xml:space="preserve">Required Warnings</w:t>
      </w:r>
      <w:r w:rsidDel="00000000" w:rsidR="00000000" w:rsidRPr="00000000">
        <w:rPr>
          <w:b w:val="1"/>
          <w:bCs w:val="1"/>
          <w:sz w:val="18"/>
          <w:szCs w:val="18"/>
          <w:rtl w:val="0"/>
        </w:rPr>
        <w:t xml:space="preserve">:</w:t>
      </w:r>
      <w:r w:rsidDel="00000000" w:rsidR="00000000" w:rsidRPr="00000000">
        <w:rPr>
          <w:sz w:val="18"/>
          <w:szCs w:val="18"/>
          <w:rtl w:val="0"/>
        </w:rPr>
        <w:t xml:space="preserve"> Labels must state to keep out of reach of children. Labels must warn that the product may contain THC and can cause a failed drug test. Labels must state that all THCs have psychoactive properties. Labels must advise pregnant or nursing women to consult a healthcare provider before use. Labels must state that the product has not been evaluated by the FDA.</w:t>
      </w:r>
    </w:p>
    <w:p w:rsidR="00000000" w:rsidDel="00000000" w:rsidP="00000000" w:rsidRDefault="00000000" w:rsidRPr="00000000" w14:paraId="00000008">
      <w:pPr>
        <w:pStyle w:val="Heading3"/>
        <w:keepNext w:val="0"/>
        <w:keepLines w:val="0"/>
        <w:spacing w:before="0" w:lineRule="auto"/>
        <w:ind w:left="-315" w:right="360" w:firstLine="0"/>
        <w:rPr>
          <w:b w:val="1"/>
          <w:bCs w:val="1"/>
          <w:color w:val="000000"/>
          <w:sz w:val="22"/>
          <w:szCs w:val="22"/>
        </w:rPr>
      </w:pPr>
      <w:bookmarkStart w:colFirst="0" w:colLast="0" w:name="_we0wbi6aea" w:id="3"/>
      <w:bookmarkEnd w:id="3"/>
      <w:r w:rsidDel="00000000" w:rsidR="00000000" w:rsidRPr="00000000">
        <w:rPr>
          <w:b w:val="1"/>
          <w:bCs w:val="1"/>
          <w:color w:val="000000"/>
          <w:sz w:val="22"/>
          <w:szCs w:val="22"/>
          <w:rtl w:val="0"/>
        </w:rPr>
        <w:t xml:space="preserve">2. COA (Certificate of Analysis) Standards</w:t>
      </w:r>
    </w:p>
    <w:p w:rsidR="00000000" w:rsidDel="00000000" w:rsidP="00000000" w:rsidRDefault="00000000" w:rsidRPr="00000000" w14:paraId="00000009">
      <w:pPr>
        <w:numPr>
          <w:ilvl w:val="0"/>
          <w:numId w:val="1"/>
        </w:numPr>
        <w:spacing w:after="0" w:afterAutospacing="0" w:lineRule="auto"/>
        <w:ind w:left="-315" w:right="360" w:firstLine="0"/>
        <w:rPr>
          <w:sz w:val="18"/>
          <w:szCs w:val="18"/>
        </w:rPr>
      </w:pPr>
      <w:r w:rsidDel="00000000" w:rsidR="00000000" w:rsidRPr="00000000">
        <w:rPr>
          <w:b w:val="1"/>
          <w:bCs w:val="1"/>
          <w:sz w:val="18"/>
          <w:szCs w:val="18"/>
          <w:u w:val="single"/>
          <w:rtl w:val="0"/>
        </w:rPr>
        <w:t xml:space="preserve">Who Needs What</w:t>
      </w:r>
      <w:r w:rsidDel="00000000" w:rsidR="00000000" w:rsidRPr="00000000">
        <w:rPr>
          <w:b w:val="1"/>
          <w:bCs w:val="1"/>
          <w:sz w:val="18"/>
          <w:szCs w:val="18"/>
          <w:rtl w:val="0"/>
        </w:rPr>
        <w:t xml:space="preserve">:</w:t>
      </w:r>
      <w:r w:rsidDel="00000000" w:rsidR="00000000" w:rsidRPr="00000000">
        <w:rPr>
          <w:sz w:val="18"/>
          <w:szCs w:val="18"/>
          <w:rtl w:val="0"/>
        </w:rPr>
        <w:t xml:space="preserve"> Retailers and white labelers must keep COAs for final consumable hemp products on hand. Manufacturers must also keep the initial COA test of the raw hemp plant before processing. Expired COAs are invalid and the product must be retested.</w:t>
      </w:r>
    </w:p>
    <w:p w:rsidR="00000000" w:rsidDel="00000000" w:rsidP="00000000" w:rsidRDefault="00000000" w:rsidRPr="00000000" w14:paraId="0000000A">
      <w:pPr>
        <w:numPr>
          <w:ilvl w:val="0"/>
          <w:numId w:val="1"/>
        </w:numPr>
        <w:spacing w:after="0" w:afterAutospacing="0" w:lineRule="auto"/>
        <w:ind w:left="-315" w:right="360" w:firstLine="0"/>
        <w:rPr>
          <w:sz w:val="18"/>
          <w:szCs w:val="18"/>
        </w:rPr>
      </w:pPr>
      <w:r w:rsidDel="00000000" w:rsidR="00000000" w:rsidRPr="00000000">
        <w:rPr>
          <w:b w:val="1"/>
          <w:bCs w:val="1"/>
          <w:sz w:val="18"/>
          <w:szCs w:val="18"/>
          <w:u w:val="single"/>
          <w:rtl w:val="0"/>
        </w:rPr>
        <w:t xml:space="preserve">Testing Requirements</w:t>
      </w:r>
      <w:r w:rsidDel="00000000" w:rsidR="00000000" w:rsidRPr="00000000">
        <w:rPr>
          <w:b w:val="1"/>
          <w:bCs w:val="1"/>
          <w:sz w:val="18"/>
          <w:szCs w:val="18"/>
          <w:rtl w:val="0"/>
        </w:rPr>
        <w:t xml:space="preserve">:</w:t>
      </w:r>
      <w:r w:rsidDel="00000000" w:rsidR="00000000" w:rsidRPr="00000000">
        <w:rPr>
          <w:sz w:val="18"/>
          <w:szCs w:val="18"/>
          <w:rtl w:val="0"/>
        </w:rPr>
        <w:t xml:space="preserve"> Final product COAs must show the presence, concentration, and identity of cannabinoids (including d-9 THC, total d-9 THC, and total THC). They must also test for residual solvents, heavy metals, pesticides, and harmful pathogens.</w:t>
      </w:r>
    </w:p>
    <w:p w:rsidR="00000000" w:rsidDel="00000000" w:rsidP="00000000" w:rsidRDefault="00000000" w:rsidRPr="00000000" w14:paraId="0000000B">
      <w:pPr>
        <w:numPr>
          <w:ilvl w:val="0"/>
          <w:numId w:val="1"/>
        </w:numPr>
        <w:spacing w:after="240" w:lineRule="auto"/>
        <w:ind w:left="-315" w:right="360" w:firstLine="0"/>
        <w:rPr>
          <w:sz w:val="18"/>
          <w:szCs w:val="18"/>
        </w:rPr>
      </w:pPr>
      <w:r w:rsidDel="00000000" w:rsidR="00000000" w:rsidRPr="00000000">
        <w:rPr>
          <w:b w:val="1"/>
          <w:bCs w:val="1"/>
          <w:sz w:val="18"/>
          <w:szCs w:val="18"/>
          <w:u w:val="single"/>
          <w:rtl w:val="0"/>
        </w:rPr>
        <w:t xml:space="preserve">COA Document Must Include</w:t>
      </w:r>
      <w:r w:rsidDel="00000000" w:rsidR="00000000" w:rsidRPr="00000000">
        <w:rPr>
          <w:b w:val="1"/>
          <w:bCs w:val="1"/>
          <w:sz w:val="18"/>
          <w:szCs w:val="18"/>
          <w:rtl w:val="0"/>
        </w:rPr>
        <w:t xml:space="preserve">:</w:t>
      </w:r>
      <w:r w:rsidDel="00000000" w:rsidR="00000000" w:rsidRPr="00000000">
        <w:rPr>
          <w:sz w:val="18"/>
          <w:szCs w:val="18"/>
          <w:rtl w:val="0"/>
        </w:rPr>
        <w:t xml:space="preserve"> Laboratory and manufacturer contact information. Sampler ID, matrix type, lot ID, dates (received and tested), and units of measure. Analytical methods used and limits of detection/quantitation. An expiration date and a QR code verifying the testing was done at an accredited lab. Results of all requested analyses and measurement of uncertainty analysis parameters.</w:t>
      </w:r>
    </w:p>
    <w:p w:rsidR="00000000" w:rsidDel="00000000" w:rsidP="00000000" w:rsidRDefault="00000000" w:rsidRPr="00000000" w14:paraId="0000000C">
      <w:pPr>
        <w:pStyle w:val="Heading3"/>
        <w:keepNext w:val="0"/>
        <w:keepLines w:val="0"/>
        <w:spacing w:before="0" w:lineRule="auto"/>
        <w:ind w:left="-315" w:right="360" w:firstLine="0"/>
        <w:rPr>
          <w:b w:val="1"/>
          <w:bCs w:val="1"/>
          <w:color w:val="000000"/>
          <w:sz w:val="22"/>
          <w:szCs w:val="22"/>
        </w:rPr>
      </w:pPr>
      <w:bookmarkStart w:colFirst="0" w:colLast="0" w:name="_qcgdxierk9ad" w:id="4"/>
      <w:bookmarkEnd w:id="4"/>
      <w:r w:rsidDel="00000000" w:rsidR="00000000" w:rsidRPr="00000000">
        <w:rPr>
          <w:b w:val="1"/>
          <w:bCs w:val="1"/>
          <w:color w:val="000000"/>
          <w:sz w:val="22"/>
          <w:szCs w:val="22"/>
          <w:rtl w:val="0"/>
        </w:rPr>
        <w:t xml:space="preserve">3. Record-Keeping &amp; Documentation</w:t>
      </w:r>
    </w:p>
    <w:p w:rsidR="00000000" w:rsidDel="00000000" w:rsidP="00000000" w:rsidRDefault="00000000" w:rsidRPr="00000000" w14:paraId="0000000D">
      <w:pPr>
        <w:numPr>
          <w:ilvl w:val="0"/>
          <w:numId w:val="1"/>
        </w:numPr>
        <w:spacing w:after="0" w:afterAutospacing="0" w:lineRule="auto"/>
        <w:ind w:left="-315" w:right="360" w:firstLine="0"/>
        <w:rPr>
          <w:sz w:val="18"/>
          <w:szCs w:val="18"/>
        </w:rPr>
      </w:pPr>
      <w:r w:rsidDel="00000000" w:rsidR="00000000" w:rsidRPr="00000000">
        <w:rPr>
          <w:b w:val="1"/>
          <w:bCs w:val="1"/>
          <w:sz w:val="18"/>
          <w:szCs w:val="18"/>
          <w:u w:val="single"/>
          <w:rtl w:val="0"/>
        </w:rPr>
        <w:t xml:space="preserve">General Rules</w:t>
      </w:r>
      <w:r w:rsidDel="00000000" w:rsidR="00000000" w:rsidRPr="00000000">
        <w:rPr>
          <w:b w:val="1"/>
          <w:bCs w:val="1"/>
          <w:sz w:val="18"/>
          <w:szCs w:val="18"/>
          <w:rtl w:val="0"/>
        </w:rPr>
        <w:t xml:space="preserve">:</w:t>
      </w:r>
      <w:r w:rsidDel="00000000" w:rsidR="00000000" w:rsidRPr="00000000">
        <w:rPr>
          <w:sz w:val="18"/>
          <w:szCs w:val="18"/>
          <w:rtl w:val="0"/>
        </w:rPr>
        <w:t xml:space="preserve"> Records must be accurate, detailed, legible, and maintained on-site for immediate inspection. All records and COAs must be retained for at least three years from their creation or receipt date.</w:t>
      </w:r>
    </w:p>
    <w:p w:rsidR="00000000" w:rsidDel="00000000" w:rsidP="00000000" w:rsidRDefault="00000000" w:rsidRPr="00000000" w14:paraId="0000000E">
      <w:pPr>
        <w:numPr>
          <w:ilvl w:val="0"/>
          <w:numId w:val="1"/>
        </w:numPr>
        <w:spacing w:after="0" w:afterAutospacing="0" w:lineRule="auto"/>
        <w:ind w:left="-315" w:right="360" w:firstLine="0"/>
        <w:rPr>
          <w:sz w:val="18"/>
          <w:szCs w:val="18"/>
        </w:rPr>
      </w:pPr>
      <w:r w:rsidDel="00000000" w:rsidR="00000000" w:rsidRPr="00000000">
        <w:rPr>
          <w:b w:val="1"/>
          <w:bCs w:val="1"/>
          <w:sz w:val="18"/>
          <w:szCs w:val="18"/>
          <w:u w:val="single"/>
          <w:rtl w:val="0"/>
        </w:rPr>
        <w:t xml:space="preserve">Traceability &amp; Production</w:t>
      </w:r>
      <w:r w:rsidDel="00000000" w:rsidR="00000000" w:rsidRPr="00000000">
        <w:rPr>
          <w:b w:val="1"/>
          <w:bCs w:val="1"/>
          <w:sz w:val="18"/>
          <w:szCs w:val="18"/>
          <w:rtl w:val="0"/>
        </w:rPr>
        <w:t xml:space="preserve">:</w:t>
      </w:r>
      <w:r w:rsidDel="00000000" w:rsidR="00000000" w:rsidRPr="00000000">
        <w:rPr>
          <w:sz w:val="18"/>
          <w:szCs w:val="18"/>
          <w:rtl w:val="0"/>
        </w:rPr>
        <w:t xml:space="preserve"> Manufacturers must maintain records of raw hemp COAs and ingredient sources to allow for appropriate traceability. Detailed Batch Production Records and Master Production Records must be maintained, signed by the preparer, and independently checked by a second person. White labelers are only required to keep documents related to their specific white label operation.</w:t>
      </w:r>
    </w:p>
    <w:p w:rsidR="00000000" w:rsidDel="00000000" w:rsidP="00000000" w:rsidRDefault="00000000" w:rsidRPr="00000000" w14:paraId="0000000F">
      <w:pPr>
        <w:numPr>
          <w:ilvl w:val="0"/>
          <w:numId w:val="1"/>
        </w:numPr>
        <w:spacing w:after="240" w:lineRule="auto"/>
        <w:ind w:left="-315" w:right="360" w:firstLine="0"/>
        <w:rPr>
          <w:sz w:val="18"/>
          <w:szCs w:val="18"/>
        </w:rPr>
      </w:pPr>
      <w:r w:rsidDel="00000000" w:rsidR="00000000" w:rsidRPr="00000000">
        <w:rPr>
          <w:b w:val="1"/>
          <w:bCs w:val="1"/>
          <w:sz w:val="18"/>
          <w:szCs w:val="18"/>
          <w:u w:val="single"/>
          <w:rtl w:val="0"/>
        </w:rPr>
        <w:t xml:space="preserve">Recall &amp; Complaint Procedures</w:t>
      </w:r>
      <w:r w:rsidDel="00000000" w:rsidR="00000000" w:rsidRPr="00000000">
        <w:rPr>
          <w:b w:val="1"/>
          <w:bCs w:val="1"/>
          <w:sz w:val="18"/>
          <w:szCs w:val="18"/>
          <w:rtl w:val="0"/>
        </w:rPr>
        <w:t xml:space="preserve">:</w:t>
      </w:r>
      <w:r w:rsidDel="00000000" w:rsidR="00000000" w:rsidRPr="00000000">
        <w:rPr>
          <w:sz w:val="18"/>
          <w:szCs w:val="18"/>
          <w:rtl w:val="0"/>
        </w:rPr>
        <w:t xml:space="preserve"> Retailers and manufacturers must have a documented Recall Procedure for identifying, segregating, and disposing of recalled products, and notifying the public. Manufacturers and processors must also maintain procedures for evaluating and documenting consumer complaints.</w:t>
      </w:r>
    </w:p>
    <w:p w:rsidR="00000000" w:rsidDel="00000000" w:rsidP="00000000" w:rsidRDefault="00000000" w:rsidRPr="00000000" w14:paraId="00000010">
      <w:pPr>
        <w:pStyle w:val="Heading3"/>
        <w:keepNext w:val="0"/>
        <w:keepLines w:val="0"/>
        <w:spacing w:before="0" w:lineRule="auto"/>
        <w:ind w:left="-315" w:right="360" w:firstLine="0"/>
        <w:rPr>
          <w:b w:val="1"/>
          <w:bCs w:val="1"/>
          <w:color w:val="000000"/>
          <w:sz w:val="22"/>
          <w:szCs w:val="22"/>
        </w:rPr>
      </w:pPr>
      <w:bookmarkStart w:colFirst="0" w:colLast="0" w:name="_7tsgrbcq0rcs" w:id="5"/>
      <w:bookmarkEnd w:id="5"/>
      <w:r w:rsidDel="00000000" w:rsidR="00000000" w:rsidRPr="00000000">
        <w:rPr>
          <w:b w:val="1"/>
          <w:bCs w:val="1"/>
          <w:color w:val="000000"/>
          <w:sz w:val="22"/>
          <w:szCs w:val="22"/>
          <w:rtl w:val="0"/>
        </w:rPr>
        <w:t xml:space="preserve">4. Retail "Grace Period" Quick Fixes</w:t>
      </w:r>
    </w:p>
    <w:p w:rsidR="00000000" w:rsidDel="00000000" w:rsidP="00000000" w:rsidRDefault="00000000" w:rsidRPr="00000000" w14:paraId="00000011">
      <w:pPr>
        <w:numPr>
          <w:ilvl w:val="0"/>
          <w:numId w:val="1"/>
        </w:numPr>
        <w:spacing w:after="0" w:afterAutospacing="0" w:lineRule="auto"/>
        <w:ind w:left="-315" w:right="360" w:firstLine="0"/>
        <w:rPr>
          <w:sz w:val="18"/>
          <w:szCs w:val="18"/>
        </w:rPr>
      </w:pPr>
      <w:r w:rsidDel="00000000" w:rsidR="00000000" w:rsidRPr="00000000">
        <w:rPr>
          <w:b w:val="1"/>
          <w:bCs w:val="1"/>
          <w:sz w:val="18"/>
          <w:szCs w:val="18"/>
          <w:u w:val="single"/>
          <w:rtl w:val="0"/>
        </w:rPr>
        <w:t xml:space="preserve">Packaging Fixes</w:t>
      </w:r>
      <w:r w:rsidDel="00000000" w:rsidR="00000000" w:rsidRPr="00000000">
        <w:rPr>
          <w:b w:val="1"/>
          <w:bCs w:val="1"/>
          <w:sz w:val="18"/>
          <w:szCs w:val="18"/>
          <w:rtl w:val="0"/>
        </w:rPr>
        <w:t xml:space="preserve">:</w:t>
      </w:r>
      <w:r w:rsidDel="00000000" w:rsidR="00000000" w:rsidRPr="00000000">
        <w:rPr>
          <w:sz w:val="18"/>
          <w:szCs w:val="18"/>
          <w:rtl w:val="0"/>
        </w:rPr>
        <w:t xml:space="preserve"> If a product lacks tamper evidence, add a shrink band or sticker at checkout. If a product is not child-resistant, provide a child-resistant exit bag at checkout. If a multi-serving drink is not resealable, provide a resealable can topper or place it in a resealable container.</w:t>
      </w:r>
    </w:p>
    <w:p w:rsidR="00000000" w:rsidDel="00000000" w:rsidP="00000000" w:rsidRDefault="00000000" w:rsidRPr="00000000" w14:paraId="00000012">
      <w:pPr>
        <w:numPr>
          <w:ilvl w:val="0"/>
          <w:numId w:val="1"/>
        </w:numPr>
        <w:spacing w:after="0" w:afterAutospacing="0" w:lineRule="auto"/>
        <w:ind w:left="-315" w:right="360" w:firstLine="0"/>
        <w:rPr>
          <w:sz w:val="18"/>
          <w:szCs w:val="18"/>
        </w:rPr>
      </w:pPr>
      <w:r w:rsidDel="00000000" w:rsidR="00000000" w:rsidRPr="00000000">
        <w:rPr>
          <w:b w:val="1"/>
          <w:bCs w:val="1"/>
          <w:sz w:val="18"/>
          <w:szCs w:val="18"/>
          <w:u w:val="single"/>
          <w:rtl w:val="0"/>
        </w:rPr>
        <w:t xml:space="preserve">Labeling Fixes</w:t>
      </w:r>
      <w:r w:rsidDel="00000000" w:rsidR="00000000" w:rsidRPr="00000000">
        <w:rPr>
          <w:b w:val="1"/>
          <w:bCs w:val="1"/>
          <w:sz w:val="18"/>
          <w:szCs w:val="18"/>
          <w:rtl w:val="0"/>
        </w:rPr>
        <w:t xml:space="preserve">:</w:t>
      </w:r>
      <w:r w:rsidDel="00000000" w:rsidR="00000000" w:rsidRPr="00000000">
        <w:rPr>
          <w:sz w:val="18"/>
          <w:szCs w:val="18"/>
          <w:rtl w:val="0"/>
        </w:rPr>
        <w:t xml:space="preserve"> If a product is missing warnings or the COA URL, place a generic sticker on the exit bag containing all required information and manufacturer contact info. If you don't host all brand COAs on your site, add a label stating: "Refer to individual products for required labeling information and for COAs not found on our website".</w:t>
      </w:r>
    </w:p>
    <w:p w:rsidR="00000000" w:rsidDel="00000000" w:rsidP="00000000" w:rsidRDefault="00000000" w:rsidRPr="00000000" w14:paraId="00000013">
      <w:pPr>
        <w:numPr>
          <w:ilvl w:val="0"/>
          <w:numId w:val="1"/>
        </w:numPr>
        <w:spacing w:after="240" w:lineRule="auto"/>
        <w:ind w:left="-315" w:right="360" w:firstLine="0"/>
        <w:rPr>
          <w:sz w:val="18"/>
          <w:szCs w:val="18"/>
        </w:rPr>
      </w:pPr>
      <w:r w:rsidDel="00000000" w:rsidR="00000000" w:rsidRPr="00000000">
        <w:rPr>
          <w:b w:val="1"/>
          <w:bCs w:val="1"/>
          <w:sz w:val="18"/>
          <w:szCs w:val="18"/>
          <w:u w:val="single"/>
          <w:rtl w:val="0"/>
        </w:rPr>
        <w:t xml:space="preserve">COA &amp; Documentation Fixes</w:t>
      </w:r>
      <w:r w:rsidDel="00000000" w:rsidR="00000000" w:rsidRPr="00000000">
        <w:rPr>
          <w:b w:val="1"/>
          <w:bCs w:val="1"/>
          <w:sz w:val="18"/>
          <w:szCs w:val="18"/>
          <w:rtl w:val="0"/>
        </w:rPr>
        <w:t xml:space="preserve">:</w:t>
      </w:r>
      <w:r w:rsidDel="00000000" w:rsidR="00000000" w:rsidRPr="00000000">
        <w:rPr>
          <w:sz w:val="18"/>
          <w:szCs w:val="18"/>
          <w:rtl w:val="0"/>
        </w:rPr>
        <w:t xml:space="preserve"> If a product has an expired COA, immediately pause sales until an updated COA is provided by the manufacturer. If you lack required manufacturing documentation, create an action plan with deliverables and a timeline to show good faith efforts toward compliance. Reach out to manufacturers about necessary changes and document those correspondences for DSHS inspections.</w:t>
      </w:r>
    </w:p>
    <w:sectPr>
      <w:pgSz w:h="15840" w:w="12240" w:orient="portrait"/>
      <w:pgMar w:bottom="1440" w:top="585"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